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AB" w:rsidRPr="003409AB" w:rsidRDefault="003409AB" w:rsidP="003409AB">
      <w:pPr>
        <w:shd w:val="clear" w:color="auto" w:fill="FFFFFF"/>
        <w:spacing w:after="72" w:line="240" w:lineRule="auto"/>
        <w:outlineLvl w:val="3"/>
        <w:rPr>
          <w:rFonts w:ascii="Arial" w:eastAsia="Times New Roman" w:hAnsi="Arial" w:cs="Arial"/>
          <w:b/>
          <w:bCs/>
          <w:color w:val="2E639B"/>
          <w:sz w:val="30"/>
          <w:szCs w:val="30"/>
          <w:lang w:eastAsia="cs-CZ"/>
        </w:rPr>
      </w:pPr>
      <w:r w:rsidRPr="003409AB">
        <w:rPr>
          <w:rFonts w:ascii="Arial" w:eastAsia="Times New Roman" w:hAnsi="Arial" w:cs="Arial"/>
          <w:b/>
          <w:bCs/>
          <w:color w:val="2E639B"/>
          <w:sz w:val="30"/>
          <w:szCs w:val="30"/>
          <w:lang w:eastAsia="cs-CZ"/>
        </w:rPr>
        <w:t>Model maturitní zkoušky pro rok 2018</w:t>
      </w:r>
    </w:p>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color w:val="000000"/>
          <w:sz w:val="18"/>
          <w:szCs w:val="18"/>
          <w:lang w:eastAsia="cs-CZ"/>
        </w:rPr>
        <w:br/>
        <w:t>Maturitní zkouška ve školním roce 2017/2018 se skládá ze dvou částí – </w:t>
      </w:r>
      <w:r w:rsidRPr="003409AB">
        <w:rPr>
          <w:rFonts w:ascii="Arial" w:eastAsia="Times New Roman" w:hAnsi="Arial" w:cs="Arial"/>
          <w:b/>
          <w:bCs/>
          <w:color w:val="000000"/>
          <w:sz w:val="18"/>
          <w:szCs w:val="18"/>
          <w:lang w:eastAsia="cs-CZ"/>
        </w:rPr>
        <w:t>společné</w:t>
      </w:r>
      <w:r w:rsidRPr="003409AB">
        <w:rPr>
          <w:rFonts w:ascii="Arial" w:eastAsia="Times New Roman" w:hAnsi="Arial" w:cs="Arial"/>
          <w:color w:val="000000"/>
          <w:sz w:val="18"/>
          <w:szCs w:val="18"/>
          <w:lang w:eastAsia="cs-CZ"/>
        </w:rPr>
        <w:t> (státní) a </w:t>
      </w:r>
      <w:r w:rsidRPr="003409AB">
        <w:rPr>
          <w:rFonts w:ascii="Arial" w:eastAsia="Times New Roman" w:hAnsi="Arial" w:cs="Arial"/>
          <w:b/>
          <w:bCs/>
          <w:color w:val="000000"/>
          <w:sz w:val="18"/>
          <w:szCs w:val="18"/>
          <w:lang w:eastAsia="cs-CZ"/>
        </w:rPr>
        <w:t>profilové</w:t>
      </w:r>
      <w:r w:rsidRPr="003409AB">
        <w:rPr>
          <w:rFonts w:ascii="Arial" w:eastAsia="Times New Roman" w:hAnsi="Arial" w:cs="Arial"/>
          <w:color w:val="000000"/>
          <w:sz w:val="18"/>
          <w:szCs w:val="18"/>
          <w:lang w:eastAsia="cs-CZ"/>
        </w:rPr>
        <w:t> (školní). Aby žák uspěl u maturity, musí úspěšně složit </w:t>
      </w:r>
      <w:r w:rsidRPr="003409AB">
        <w:rPr>
          <w:rFonts w:ascii="Arial" w:eastAsia="Times New Roman" w:hAnsi="Arial" w:cs="Arial"/>
          <w:b/>
          <w:bCs/>
          <w:color w:val="000000"/>
          <w:sz w:val="18"/>
          <w:szCs w:val="18"/>
          <w:lang w:eastAsia="cs-CZ"/>
        </w:rPr>
        <w:t>povinné zkoušky obou těchto částí</w:t>
      </w:r>
      <w:r w:rsidRPr="003409AB">
        <w:rPr>
          <w:rFonts w:ascii="Arial" w:eastAsia="Times New Roman" w:hAnsi="Arial" w:cs="Arial"/>
          <w:color w:val="000000"/>
          <w:sz w:val="18"/>
          <w:szCs w:val="18"/>
          <w:lang w:eastAsia="cs-CZ"/>
        </w:rPr>
        <w:t>.</w:t>
      </w:r>
    </w:p>
    <w:p w:rsidR="003409AB" w:rsidRDefault="003409AB" w:rsidP="003409AB">
      <w:pPr>
        <w:shd w:val="clear" w:color="auto" w:fill="FFFFFF"/>
        <w:spacing w:after="0" w:line="270" w:lineRule="atLeast"/>
        <w:rPr>
          <w:rFonts w:ascii="Arial" w:eastAsia="Times New Roman" w:hAnsi="Arial" w:cs="Arial"/>
          <w:color w:val="000000"/>
          <w:sz w:val="18"/>
          <w:szCs w:val="18"/>
          <w:lang w:eastAsia="cs-CZ"/>
        </w:rPr>
      </w:pPr>
      <w:r w:rsidRPr="003409AB">
        <w:rPr>
          <w:rFonts w:ascii="Arial" w:eastAsia="Times New Roman" w:hAnsi="Arial" w:cs="Arial"/>
          <w:color w:val="000000"/>
          <w:sz w:val="18"/>
          <w:szCs w:val="18"/>
          <w:lang w:eastAsia="cs-CZ"/>
        </w:rPr>
        <w:t>Model maturitní zkoušky se opírá o platnou legislativu – tedy Školský zákon č. 561/2004 Sb. a vyhlášku č. 177/2009 Sb. ve znění pozdějších novel (více v záložce </w:t>
      </w:r>
      <w:hyperlink r:id="rId5" w:history="1">
        <w:r w:rsidRPr="003409AB">
          <w:rPr>
            <w:rFonts w:ascii="inherit" w:eastAsia="Times New Roman" w:hAnsi="inherit" w:cs="Arial"/>
            <w:color w:val="000099"/>
            <w:sz w:val="18"/>
            <w:szCs w:val="18"/>
            <w:u w:val="single"/>
            <w:bdr w:val="none" w:sz="0" w:space="0" w:color="auto" w:frame="1"/>
            <w:lang w:eastAsia="cs-CZ"/>
          </w:rPr>
          <w:t>Školský zákon a vyhláška</w:t>
        </w:r>
      </w:hyperlink>
      <w:r w:rsidRPr="003409AB">
        <w:rPr>
          <w:rFonts w:ascii="Arial" w:eastAsia="Times New Roman" w:hAnsi="Arial" w:cs="Arial"/>
          <w:color w:val="000000"/>
          <w:sz w:val="18"/>
          <w:szCs w:val="18"/>
          <w:lang w:eastAsia="cs-CZ"/>
        </w:rPr>
        <w:t>).</w:t>
      </w:r>
    </w:p>
    <w:p w:rsidR="003409AB" w:rsidRPr="003409AB" w:rsidRDefault="003409AB" w:rsidP="003409AB">
      <w:pPr>
        <w:shd w:val="clear" w:color="auto" w:fill="FFFFFF"/>
        <w:spacing w:after="0" w:line="270" w:lineRule="atLeast"/>
        <w:rPr>
          <w:rFonts w:ascii="Arial" w:eastAsia="Times New Roman" w:hAnsi="Arial" w:cs="Arial"/>
          <w:color w:val="000000"/>
          <w:sz w:val="18"/>
          <w:szCs w:val="18"/>
          <w:lang w:eastAsia="cs-CZ"/>
        </w:rPr>
      </w:pPr>
    </w:p>
    <w:tbl>
      <w:tblPr>
        <w:tblW w:w="5429" w:type="pct"/>
        <w:jc w:val="center"/>
        <w:tblCellSpacing w:w="7" w:type="dxa"/>
        <w:tblBorders>
          <w:top w:val="single" w:sz="6" w:space="0" w:color="999999"/>
          <w:left w:val="outset" w:sz="2" w:space="0" w:color="auto"/>
          <w:bottom w:val="outset" w:sz="2" w:space="0" w:color="auto"/>
          <w:right w:val="single" w:sz="6" w:space="0" w:color="999999"/>
        </w:tblBorders>
        <w:shd w:val="clear" w:color="auto" w:fill="FFFFFF"/>
        <w:tblCellMar>
          <w:left w:w="0" w:type="dxa"/>
          <w:right w:w="0" w:type="dxa"/>
        </w:tblCellMar>
        <w:tblLook w:val="04A0" w:firstRow="1" w:lastRow="0" w:firstColumn="1" w:lastColumn="0" w:noHBand="0" w:noVBand="1"/>
        <w:tblDescription w:val=""/>
      </w:tblPr>
      <w:tblGrid>
        <w:gridCol w:w="1287"/>
        <w:gridCol w:w="6292"/>
        <w:gridCol w:w="2259"/>
      </w:tblGrid>
      <w:tr w:rsidR="003409AB" w:rsidRPr="003409AB" w:rsidTr="003409AB">
        <w:trPr>
          <w:trHeight w:val="91"/>
          <w:tblCellSpacing w:w="7" w:type="dxa"/>
          <w:jc w:val="center"/>
        </w:trPr>
        <w:tc>
          <w:tcPr>
            <w:tcW w:w="0" w:type="auto"/>
            <w:tcBorders>
              <w:top w:val="outset" w:sz="2" w:space="0" w:color="auto"/>
              <w:left w:val="single" w:sz="6" w:space="0" w:color="999999"/>
              <w:bottom w:val="single" w:sz="6" w:space="0" w:color="999999"/>
              <w:right w:val="outset" w:sz="2" w:space="0" w:color="auto"/>
            </w:tcBorders>
            <w:shd w:val="clear" w:color="auto" w:fill="FFCC99"/>
            <w:tcMar>
              <w:top w:w="75" w:type="dxa"/>
              <w:left w:w="75" w:type="dxa"/>
              <w:bottom w:w="75" w:type="dxa"/>
              <w:right w:w="75" w:type="dxa"/>
            </w:tcMar>
            <w:vAlign w:val="center"/>
            <w:hideMark/>
          </w:tcPr>
          <w:p w:rsidR="003409AB" w:rsidRPr="003409AB" w:rsidRDefault="003409AB" w:rsidP="003409AB">
            <w:pPr>
              <w:spacing w:after="0" w:line="240" w:lineRule="auto"/>
              <w:jc w:val="center"/>
              <w:rPr>
                <w:rFonts w:ascii="inherit" w:eastAsia="Times New Roman" w:hAnsi="inherit" w:cs="Arial"/>
                <w:b/>
                <w:bCs/>
                <w:color w:val="000000"/>
                <w:sz w:val="18"/>
                <w:szCs w:val="18"/>
                <w:lang w:eastAsia="cs-CZ"/>
              </w:rPr>
            </w:pPr>
            <w:r w:rsidRPr="003409AB">
              <w:rPr>
                <w:rFonts w:ascii="inherit" w:eastAsia="Times New Roman" w:hAnsi="inherit" w:cs="Arial"/>
                <w:b/>
                <w:bCs/>
                <w:color w:val="000000"/>
                <w:sz w:val="18"/>
                <w:szCs w:val="18"/>
                <w:lang w:eastAsia="cs-CZ"/>
              </w:rPr>
              <w:t>ROK</w:t>
            </w:r>
          </w:p>
        </w:tc>
        <w:tc>
          <w:tcPr>
            <w:tcW w:w="0" w:type="auto"/>
            <w:tcBorders>
              <w:top w:val="outset" w:sz="2" w:space="0" w:color="auto"/>
              <w:left w:val="single" w:sz="6" w:space="0" w:color="999999"/>
              <w:bottom w:val="single" w:sz="6" w:space="0" w:color="999999"/>
              <w:right w:val="outset" w:sz="2" w:space="0" w:color="auto"/>
            </w:tcBorders>
            <w:shd w:val="clear" w:color="auto" w:fill="FFCC99"/>
            <w:tcMar>
              <w:top w:w="75" w:type="dxa"/>
              <w:left w:w="75" w:type="dxa"/>
              <w:bottom w:w="75" w:type="dxa"/>
              <w:right w:w="75" w:type="dxa"/>
            </w:tcMar>
            <w:vAlign w:val="center"/>
            <w:hideMark/>
          </w:tcPr>
          <w:p w:rsidR="003409AB" w:rsidRPr="003409AB" w:rsidRDefault="003409AB" w:rsidP="003409AB">
            <w:pPr>
              <w:spacing w:after="0" w:line="240" w:lineRule="auto"/>
              <w:jc w:val="center"/>
              <w:rPr>
                <w:rFonts w:ascii="inherit" w:eastAsia="Times New Roman" w:hAnsi="inherit" w:cs="Arial"/>
                <w:b/>
                <w:bCs/>
                <w:color w:val="000000"/>
                <w:sz w:val="18"/>
                <w:szCs w:val="18"/>
                <w:lang w:eastAsia="cs-CZ"/>
              </w:rPr>
            </w:pPr>
            <w:r w:rsidRPr="003409AB">
              <w:rPr>
                <w:rFonts w:ascii="inherit" w:eastAsia="Times New Roman" w:hAnsi="inherit" w:cs="Arial"/>
                <w:b/>
                <w:bCs/>
                <w:color w:val="000000"/>
                <w:sz w:val="18"/>
                <w:szCs w:val="18"/>
                <w:lang w:eastAsia="cs-CZ"/>
              </w:rPr>
              <w:t>SPOLEČNÁ ČÁST</w:t>
            </w:r>
          </w:p>
        </w:tc>
        <w:tc>
          <w:tcPr>
            <w:tcW w:w="0" w:type="auto"/>
            <w:tcBorders>
              <w:top w:val="outset" w:sz="2" w:space="0" w:color="auto"/>
              <w:left w:val="single" w:sz="6" w:space="0" w:color="999999"/>
              <w:bottom w:val="single" w:sz="6" w:space="0" w:color="999999"/>
              <w:right w:val="outset" w:sz="2" w:space="0" w:color="auto"/>
            </w:tcBorders>
            <w:shd w:val="clear" w:color="auto" w:fill="FFCC99"/>
            <w:tcMar>
              <w:top w:w="75" w:type="dxa"/>
              <w:left w:w="75" w:type="dxa"/>
              <w:bottom w:w="75" w:type="dxa"/>
              <w:right w:w="75" w:type="dxa"/>
            </w:tcMar>
            <w:vAlign w:val="center"/>
            <w:hideMark/>
          </w:tcPr>
          <w:p w:rsidR="003409AB" w:rsidRPr="003409AB" w:rsidRDefault="003409AB" w:rsidP="003409AB">
            <w:pPr>
              <w:spacing w:after="0" w:line="240" w:lineRule="auto"/>
              <w:jc w:val="center"/>
              <w:rPr>
                <w:rFonts w:ascii="inherit" w:eastAsia="Times New Roman" w:hAnsi="inherit" w:cs="Arial"/>
                <w:b/>
                <w:bCs/>
                <w:color w:val="000000"/>
                <w:sz w:val="18"/>
                <w:szCs w:val="18"/>
                <w:lang w:eastAsia="cs-CZ"/>
              </w:rPr>
            </w:pPr>
            <w:r w:rsidRPr="003409AB">
              <w:rPr>
                <w:rFonts w:ascii="inherit" w:eastAsia="Times New Roman" w:hAnsi="inherit" w:cs="Arial"/>
                <w:b/>
                <w:bCs/>
                <w:color w:val="000000"/>
                <w:sz w:val="18"/>
                <w:szCs w:val="18"/>
                <w:lang w:eastAsia="cs-CZ"/>
              </w:rPr>
              <w:t>PROFILOVÁ ČÁST</w:t>
            </w:r>
          </w:p>
        </w:tc>
      </w:tr>
      <w:tr w:rsidR="003409AB" w:rsidRPr="003409AB" w:rsidTr="003409AB">
        <w:trPr>
          <w:trHeight w:val="582"/>
          <w:tblCellSpacing w:w="7" w:type="dxa"/>
          <w:jc w:val="center"/>
        </w:trPr>
        <w:tc>
          <w:tcPr>
            <w:tcW w:w="647" w:type="pct"/>
            <w:vMerge w:val="restart"/>
            <w:tcBorders>
              <w:top w:val="outset" w:sz="2" w:space="0" w:color="auto"/>
              <w:left w:val="single" w:sz="6" w:space="0" w:color="999999"/>
              <w:bottom w:val="single" w:sz="6" w:space="0" w:color="999999"/>
              <w:right w:val="outset" w:sz="2" w:space="0" w:color="auto"/>
            </w:tcBorders>
            <w:shd w:val="clear" w:color="auto" w:fill="FFFFFF"/>
            <w:tcMar>
              <w:top w:w="75" w:type="dxa"/>
              <w:left w:w="75" w:type="dxa"/>
              <w:bottom w:w="75" w:type="dxa"/>
              <w:right w:w="75" w:type="dxa"/>
            </w:tcMar>
            <w:vAlign w:val="center"/>
            <w:hideMark/>
          </w:tcPr>
          <w:p w:rsidR="003409AB" w:rsidRPr="003409AB" w:rsidRDefault="003409AB" w:rsidP="003409AB">
            <w:pPr>
              <w:spacing w:after="0" w:line="240" w:lineRule="auto"/>
              <w:jc w:val="center"/>
              <w:rPr>
                <w:rFonts w:ascii="inherit" w:eastAsia="Times New Roman" w:hAnsi="inherit" w:cs="Arial"/>
                <w:color w:val="000000"/>
                <w:sz w:val="18"/>
                <w:szCs w:val="18"/>
                <w:lang w:eastAsia="cs-CZ"/>
              </w:rPr>
            </w:pPr>
            <w:r w:rsidRPr="003409AB">
              <w:rPr>
                <w:rFonts w:ascii="inherit" w:eastAsia="Times New Roman" w:hAnsi="inherit" w:cs="Arial"/>
                <w:b/>
                <w:bCs/>
                <w:color w:val="000000"/>
                <w:sz w:val="18"/>
                <w:szCs w:val="18"/>
                <w:lang w:eastAsia="cs-CZ"/>
              </w:rPr>
              <w:t>2017</w:t>
            </w:r>
          </w:p>
        </w:tc>
        <w:tc>
          <w:tcPr>
            <w:tcW w:w="0" w:type="auto"/>
            <w:tcBorders>
              <w:top w:val="outset" w:sz="2" w:space="0" w:color="auto"/>
              <w:left w:val="single" w:sz="6" w:space="0" w:color="999999"/>
              <w:bottom w:val="single" w:sz="6" w:space="0" w:color="999999"/>
              <w:right w:val="outset" w:sz="2" w:space="0" w:color="auto"/>
            </w:tcBorders>
            <w:shd w:val="clear" w:color="auto" w:fill="FFFFFF"/>
            <w:tcMar>
              <w:top w:w="75" w:type="dxa"/>
              <w:left w:w="75" w:type="dxa"/>
              <w:bottom w:w="75" w:type="dxa"/>
              <w:right w:w="75" w:type="dxa"/>
            </w:tcMar>
            <w:vAlign w:val="center"/>
            <w:hideMark/>
          </w:tcPr>
          <w:p w:rsidR="003409AB" w:rsidRPr="003409AB" w:rsidRDefault="003409AB" w:rsidP="003409AB">
            <w:pPr>
              <w:spacing w:after="0" w:line="270" w:lineRule="atLeast"/>
              <w:rPr>
                <w:rFonts w:ascii="inherit" w:eastAsia="Times New Roman" w:hAnsi="inherit" w:cs="Arial"/>
                <w:color w:val="000000"/>
                <w:sz w:val="18"/>
                <w:szCs w:val="18"/>
                <w:lang w:eastAsia="cs-CZ"/>
              </w:rPr>
            </w:pPr>
            <w:r w:rsidRPr="003409AB">
              <w:rPr>
                <w:rFonts w:ascii="inherit" w:eastAsia="Times New Roman" w:hAnsi="inherit" w:cs="Arial"/>
                <w:b/>
                <w:bCs/>
                <w:color w:val="000000"/>
                <w:sz w:val="18"/>
                <w:szCs w:val="18"/>
                <w:lang w:eastAsia="cs-CZ"/>
              </w:rPr>
              <w:t>2 povinné zkoušky:</w:t>
            </w:r>
            <w:r w:rsidRPr="003409AB">
              <w:rPr>
                <w:rFonts w:ascii="inherit" w:eastAsia="Times New Roman" w:hAnsi="inherit" w:cs="Arial"/>
                <w:b/>
                <w:bCs/>
                <w:color w:val="000000"/>
                <w:sz w:val="18"/>
                <w:szCs w:val="18"/>
                <w:lang w:eastAsia="cs-CZ"/>
              </w:rPr>
              <w:br/>
            </w:r>
            <w:r w:rsidRPr="003409AB">
              <w:rPr>
                <w:rFonts w:ascii="inherit" w:eastAsia="Times New Roman" w:hAnsi="inherit" w:cs="Arial"/>
                <w:color w:val="000000"/>
                <w:sz w:val="18"/>
                <w:szCs w:val="18"/>
                <w:lang w:eastAsia="cs-CZ"/>
              </w:rPr>
              <w:t>1. </w:t>
            </w:r>
            <w:hyperlink r:id="rId6" w:history="1">
              <w:r w:rsidRPr="003409AB">
                <w:rPr>
                  <w:rFonts w:ascii="inherit" w:eastAsia="Times New Roman" w:hAnsi="inherit" w:cs="Arial"/>
                  <w:color w:val="000099"/>
                  <w:sz w:val="18"/>
                  <w:szCs w:val="18"/>
                  <w:u w:val="single"/>
                  <w:bdr w:val="none" w:sz="0" w:space="0" w:color="auto" w:frame="1"/>
                  <w:lang w:eastAsia="cs-CZ"/>
                </w:rPr>
                <w:t>český jazyk a literatura </w:t>
              </w:r>
              <w:r w:rsidRPr="003409AB">
                <w:rPr>
                  <w:rFonts w:ascii="inherit" w:eastAsia="Times New Roman" w:hAnsi="inherit" w:cs="Arial"/>
                  <w:color w:val="000099"/>
                  <w:sz w:val="18"/>
                  <w:szCs w:val="18"/>
                  <w:u w:val="single"/>
                  <w:bdr w:val="none" w:sz="0" w:space="0" w:color="auto" w:frame="1"/>
                  <w:lang w:eastAsia="cs-CZ"/>
                </w:rPr>
                <w:br/>
              </w:r>
            </w:hyperlink>
            <w:r w:rsidRPr="003409AB">
              <w:rPr>
                <w:rFonts w:ascii="inherit" w:eastAsia="Times New Roman" w:hAnsi="inherit" w:cs="Arial"/>
                <w:color w:val="000000"/>
                <w:sz w:val="18"/>
                <w:szCs w:val="18"/>
                <w:lang w:eastAsia="cs-CZ"/>
              </w:rPr>
              <w:t>2. </w:t>
            </w:r>
            <w:hyperlink r:id="rId7" w:history="1">
              <w:r w:rsidRPr="003409AB">
                <w:rPr>
                  <w:rFonts w:ascii="inherit" w:eastAsia="Times New Roman" w:hAnsi="inherit" w:cs="Arial"/>
                  <w:color w:val="000099"/>
                  <w:sz w:val="18"/>
                  <w:szCs w:val="18"/>
                  <w:u w:val="single"/>
                  <w:bdr w:val="none" w:sz="0" w:space="0" w:color="auto" w:frame="1"/>
                  <w:lang w:eastAsia="cs-CZ"/>
                </w:rPr>
                <w:t>cizí jazyk</w:t>
              </w:r>
            </w:hyperlink>
            <w:r w:rsidRPr="003409AB">
              <w:rPr>
                <w:rFonts w:ascii="inherit" w:eastAsia="Times New Roman" w:hAnsi="inherit" w:cs="Arial"/>
                <w:color w:val="000000"/>
                <w:sz w:val="18"/>
                <w:szCs w:val="18"/>
                <w:lang w:eastAsia="cs-CZ"/>
              </w:rPr>
              <w:t> </w:t>
            </w:r>
            <w:r w:rsidRPr="003409AB">
              <w:rPr>
                <w:rFonts w:ascii="inherit" w:eastAsia="Times New Roman" w:hAnsi="inherit" w:cs="Arial"/>
                <w:color w:val="000000"/>
                <w:sz w:val="18"/>
                <w:szCs w:val="18"/>
                <w:lang w:eastAsia="cs-CZ"/>
              </w:rPr>
              <w:br/>
              <w:t>nebo</w:t>
            </w:r>
            <w:r w:rsidRPr="003409AB">
              <w:rPr>
                <w:rFonts w:ascii="inherit" w:eastAsia="Times New Roman" w:hAnsi="inherit" w:cs="Arial"/>
                <w:color w:val="000000"/>
                <w:sz w:val="18"/>
                <w:szCs w:val="18"/>
                <w:lang w:eastAsia="cs-CZ"/>
              </w:rPr>
              <w:br/>
            </w:r>
            <w:hyperlink r:id="rId8" w:history="1">
              <w:r w:rsidRPr="003409AB">
                <w:rPr>
                  <w:rFonts w:ascii="inherit" w:eastAsia="Times New Roman" w:hAnsi="inherit" w:cs="Arial"/>
                  <w:color w:val="000099"/>
                  <w:sz w:val="18"/>
                  <w:szCs w:val="18"/>
                  <w:u w:val="single"/>
                  <w:bdr w:val="none" w:sz="0" w:space="0" w:color="auto" w:frame="1"/>
                  <w:lang w:eastAsia="cs-CZ"/>
                </w:rPr>
                <w:t>matematika</w:t>
              </w:r>
            </w:hyperlink>
          </w:p>
        </w:tc>
        <w:tc>
          <w:tcPr>
            <w:tcW w:w="1144" w:type="pct"/>
            <w:tcBorders>
              <w:top w:val="outset" w:sz="2" w:space="0" w:color="auto"/>
              <w:left w:val="single" w:sz="6" w:space="0" w:color="999999"/>
              <w:bottom w:val="single" w:sz="6" w:space="0" w:color="999999"/>
              <w:right w:val="outset" w:sz="2" w:space="0" w:color="auto"/>
            </w:tcBorders>
            <w:shd w:val="clear" w:color="auto" w:fill="FFFFFF"/>
            <w:tcMar>
              <w:top w:w="75" w:type="dxa"/>
              <w:left w:w="75" w:type="dxa"/>
              <w:bottom w:w="75" w:type="dxa"/>
              <w:right w:w="75" w:type="dxa"/>
            </w:tcMar>
            <w:vAlign w:val="center"/>
            <w:hideMark/>
          </w:tcPr>
          <w:p w:rsidR="003409AB" w:rsidRPr="003409AB" w:rsidRDefault="003409AB" w:rsidP="003409AB">
            <w:pPr>
              <w:spacing w:after="240" w:line="270" w:lineRule="atLeast"/>
              <w:rPr>
                <w:rFonts w:ascii="inherit" w:eastAsia="Times New Roman" w:hAnsi="inherit" w:cs="Arial"/>
                <w:color w:val="000000"/>
                <w:sz w:val="18"/>
                <w:szCs w:val="18"/>
                <w:lang w:eastAsia="cs-CZ"/>
              </w:rPr>
            </w:pPr>
            <w:r w:rsidRPr="003409AB">
              <w:rPr>
                <w:rFonts w:ascii="inherit" w:eastAsia="Times New Roman" w:hAnsi="inherit" w:cs="Arial"/>
                <w:b/>
                <w:bCs/>
                <w:color w:val="000000"/>
                <w:sz w:val="18"/>
                <w:szCs w:val="18"/>
                <w:lang w:eastAsia="cs-CZ"/>
              </w:rPr>
              <w:t>2–3 povinné zkoušky</w:t>
            </w:r>
            <w:r w:rsidRPr="003409AB">
              <w:rPr>
                <w:rFonts w:ascii="inherit" w:eastAsia="Times New Roman" w:hAnsi="inherit" w:cs="Arial"/>
                <w:color w:val="000000"/>
                <w:sz w:val="18"/>
                <w:szCs w:val="18"/>
                <w:lang w:eastAsia="cs-CZ"/>
              </w:rPr>
              <w:br/>
              <w:t>- stanovuje RVP/ ředitel školy</w:t>
            </w:r>
          </w:p>
        </w:tc>
      </w:tr>
      <w:tr w:rsidR="003409AB" w:rsidRPr="003409AB" w:rsidTr="003409AB">
        <w:trPr>
          <w:trHeight w:val="570"/>
          <w:tblCellSpacing w:w="7" w:type="dxa"/>
          <w:jc w:val="center"/>
        </w:trPr>
        <w:tc>
          <w:tcPr>
            <w:tcW w:w="0" w:type="auto"/>
            <w:vMerge/>
            <w:tcBorders>
              <w:top w:val="outset" w:sz="2" w:space="0" w:color="auto"/>
              <w:left w:val="single" w:sz="6" w:space="0" w:color="999999"/>
              <w:bottom w:val="single" w:sz="6" w:space="0" w:color="999999"/>
              <w:right w:val="outset" w:sz="2" w:space="0" w:color="auto"/>
            </w:tcBorders>
            <w:shd w:val="clear" w:color="auto" w:fill="FFFFFF"/>
            <w:vAlign w:val="center"/>
            <w:hideMark/>
          </w:tcPr>
          <w:p w:rsidR="003409AB" w:rsidRPr="003409AB" w:rsidRDefault="003409AB" w:rsidP="003409AB">
            <w:pPr>
              <w:spacing w:after="0" w:line="240" w:lineRule="auto"/>
              <w:rPr>
                <w:rFonts w:ascii="inherit" w:eastAsia="Times New Roman" w:hAnsi="inherit" w:cs="Arial"/>
                <w:color w:val="000000"/>
                <w:sz w:val="18"/>
                <w:szCs w:val="18"/>
                <w:lang w:eastAsia="cs-CZ"/>
              </w:rPr>
            </w:pPr>
          </w:p>
        </w:tc>
        <w:tc>
          <w:tcPr>
            <w:tcW w:w="0" w:type="auto"/>
            <w:tcBorders>
              <w:top w:val="outset" w:sz="2" w:space="0" w:color="auto"/>
              <w:left w:val="single" w:sz="6" w:space="0" w:color="999999"/>
              <w:bottom w:val="single" w:sz="6" w:space="0" w:color="999999"/>
              <w:right w:val="outset" w:sz="2" w:space="0" w:color="auto"/>
            </w:tcBorders>
            <w:shd w:val="clear" w:color="auto" w:fill="FFFFFF"/>
            <w:tcMar>
              <w:top w:w="75" w:type="dxa"/>
              <w:left w:w="75" w:type="dxa"/>
              <w:bottom w:w="75" w:type="dxa"/>
              <w:right w:w="75" w:type="dxa"/>
            </w:tcMar>
            <w:vAlign w:val="center"/>
            <w:hideMark/>
          </w:tcPr>
          <w:p w:rsidR="003409AB" w:rsidRPr="003409AB" w:rsidRDefault="003409AB" w:rsidP="003409AB">
            <w:pPr>
              <w:spacing w:after="0" w:line="240" w:lineRule="auto"/>
              <w:rPr>
                <w:rFonts w:ascii="inherit" w:eastAsia="Times New Roman" w:hAnsi="inherit" w:cs="Arial"/>
                <w:color w:val="000000"/>
                <w:sz w:val="18"/>
                <w:szCs w:val="18"/>
                <w:lang w:eastAsia="cs-CZ"/>
              </w:rPr>
            </w:pPr>
            <w:r w:rsidRPr="003409AB">
              <w:rPr>
                <w:rFonts w:ascii="inherit" w:eastAsia="Times New Roman" w:hAnsi="inherit" w:cs="Arial"/>
                <w:b/>
                <w:bCs/>
                <w:color w:val="000000"/>
                <w:sz w:val="18"/>
                <w:szCs w:val="18"/>
                <w:lang w:eastAsia="cs-CZ"/>
              </w:rPr>
              <w:t>max. 2nepovinné zkoušky</w:t>
            </w:r>
            <w:r w:rsidRPr="003409AB">
              <w:rPr>
                <w:rFonts w:ascii="inherit" w:eastAsia="Times New Roman" w:hAnsi="inherit" w:cs="Arial"/>
                <w:color w:val="000000"/>
                <w:sz w:val="18"/>
                <w:szCs w:val="18"/>
                <w:lang w:eastAsia="cs-CZ"/>
              </w:rPr>
              <w:br/>
              <w:t>- z nabídky: </w:t>
            </w:r>
            <w:r w:rsidRPr="003409AB">
              <w:rPr>
                <w:rFonts w:ascii="inherit" w:eastAsia="Times New Roman" w:hAnsi="inherit" w:cs="Arial"/>
                <w:color w:val="000000"/>
                <w:sz w:val="18"/>
                <w:szCs w:val="18"/>
                <w:lang w:eastAsia="cs-CZ"/>
              </w:rPr>
              <w:br/>
            </w:r>
            <w:hyperlink r:id="rId9" w:history="1">
              <w:r w:rsidRPr="003409AB">
                <w:rPr>
                  <w:rFonts w:ascii="inherit" w:eastAsia="Times New Roman" w:hAnsi="inherit" w:cs="Arial"/>
                  <w:color w:val="000099"/>
                  <w:sz w:val="18"/>
                  <w:szCs w:val="18"/>
                  <w:u w:val="single"/>
                  <w:bdr w:val="none" w:sz="0" w:space="0" w:color="auto" w:frame="1"/>
                  <w:lang w:eastAsia="cs-CZ"/>
                </w:rPr>
                <w:t>cizí jazyk</w:t>
              </w:r>
            </w:hyperlink>
            <w:r w:rsidRPr="003409AB">
              <w:rPr>
                <w:rFonts w:ascii="inherit" w:eastAsia="Times New Roman" w:hAnsi="inherit" w:cs="Arial"/>
                <w:color w:val="000000"/>
                <w:sz w:val="18"/>
                <w:szCs w:val="18"/>
                <w:lang w:eastAsia="cs-CZ"/>
              </w:rPr>
              <w:t>, </w:t>
            </w:r>
            <w:hyperlink r:id="rId10" w:history="1">
              <w:r w:rsidRPr="003409AB">
                <w:rPr>
                  <w:rFonts w:ascii="inherit" w:eastAsia="Times New Roman" w:hAnsi="inherit" w:cs="Arial"/>
                  <w:color w:val="000099"/>
                  <w:sz w:val="18"/>
                  <w:szCs w:val="18"/>
                  <w:u w:val="single"/>
                  <w:bdr w:val="none" w:sz="0" w:space="0" w:color="auto" w:frame="1"/>
                  <w:lang w:eastAsia="cs-CZ"/>
                </w:rPr>
                <w:t>matematika</w:t>
              </w:r>
            </w:hyperlink>
          </w:p>
        </w:tc>
        <w:tc>
          <w:tcPr>
            <w:tcW w:w="1144" w:type="pct"/>
            <w:tcBorders>
              <w:top w:val="outset" w:sz="2" w:space="0" w:color="auto"/>
              <w:left w:val="single" w:sz="6" w:space="0" w:color="999999"/>
              <w:bottom w:val="single" w:sz="6" w:space="0" w:color="999999"/>
              <w:right w:val="outset" w:sz="2" w:space="0" w:color="auto"/>
            </w:tcBorders>
            <w:shd w:val="clear" w:color="auto" w:fill="FFFFFF"/>
            <w:tcMar>
              <w:top w:w="75" w:type="dxa"/>
              <w:left w:w="75" w:type="dxa"/>
              <w:bottom w:w="75" w:type="dxa"/>
              <w:right w:w="75" w:type="dxa"/>
            </w:tcMar>
            <w:vAlign w:val="center"/>
            <w:hideMark/>
          </w:tcPr>
          <w:p w:rsidR="003409AB" w:rsidRPr="003409AB" w:rsidRDefault="003409AB" w:rsidP="003409AB">
            <w:pPr>
              <w:spacing w:after="240" w:line="270" w:lineRule="atLeast"/>
              <w:rPr>
                <w:rFonts w:ascii="inherit" w:eastAsia="Times New Roman" w:hAnsi="inherit" w:cs="Arial"/>
                <w:color w:val="000000"/>
                <w:sz w:val="18"/>
                <w:szCs w:val="18"/>
                <w:lang w:eastAsia="cs-CZ"/>
              </w:rPr>
            </w:pPr>
            <w:r w:rsidRPr="003409AB">
              <w:rPr>
                <w:rFonts w:ascii="inherit" w:eastAsia="Times New Roman" w:hAnsi="inherit" w:cs="Arial"/>
                <w:b/>
                <w:bCs/>
                <w:color w:val="000000"/>
                <w:sz w:val="18"/>
                <w:szCs w:val="18"/>
                <w:lang w:eastAsia="cs-CZ"/>
              </w:rPr>
              <w:t>max. 2 nepovinné zkoušky</w:t>
            </w:r>
            <w:r w:rsidRPr="003409AB">
              <w:rPr>
                <w:rFonts w:ascii="inherit" w:eastAsia="Times New Roman" w:hAnsi="inherit" w:cs="Arial"/>
                <w:color w:val="000000"/>
                <w:sz w:val="18"/>
                <w:szCs w:val="18"/>
                <w:lang w:eastAsia="cs-CZ"/>
              </w:rPr>
              <w:br/>
              <w:t>- nabídku stanovuje ředitel školy</w:t>
            </w:r>
          </w:p>
        </w:tc>
      </w:tr>
    </w:tbl>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color w:val="000000"/>
          <w:sz w:val="18"/>
          <w:szCs w:val="18"/>
          <w:lang w:eastAsia="cs-CZ"/>
        </w:rPr>
        <w:t>Nabídku a počet předmětů profilové části maturitní zkoušky určuje ředitel školy dle platného RVP pro daný obor. </w:t>
      </w:r>
    </w:p>
    <w:p w:rsidR="003409AB" w:rsidRPr="003409AB" w:rsidRDefault="003409AB" w:rsidP="003409AB">
      <w:pPr>
        <w:shd w:val="clear" w:color="auto" w:fill="FFFFFF"/>
        <w:spacing w:after="72" w:line="240" w:lineRule="auto"/>
        <w:outlineLvl w:val="3"/>
        <w:rPr>
          <w:rFonts w:ascii="Arial" w:eastAsia="Times New Roman" w:hAnsi="Arial" w:cs="Arial"/>
          <w:b/>
          <w:bCs/>
          <w:color w:val="2E639B"/>
          <w:sz w:val="30"/>
          <w:szCs w:val="30"/>
          <w:lang w:eastAsia="cs-CZ"/>
        </w:rPr>
      </w:pPr>
      <w:r w:rsidRPr="003409AB">
        <w:rPr>
          <w:rFonts w:ascii="Arial" w:eastAsia="Times New Roman" w:hAnsi="Arial" w:cs="Arial"/>
          <w:b/>
          <w:bCs/>
          <w:color w:val="2E639B"/>
          <w:sz w:val="30"/>
          <w:szCs w:val="30"/>
          <w:lang w:eastAsia="cs-CZ"/>
        </w:rPr>
        <w:t>Společná část maturitní zkoušky</w:t>
      </w:r>
    </w:p>
    <w:p w:rsidR="003409AB" w:rsidRPr="003409AB" w:rsidRDefault="003409AB" w:rsidP="003409AB">
      <w:pPr>
        <w:shd w:val="clear" w:color="auto" w:fill="FFFFFF"/>
        <w:spacing w:after="0" w:line="270" w:lineRule="atLeast"/>
        <w:rPr>
          <w:rFonts w:ascii="Arial" w:eastAsia="Times New Roman" w:hAnsi="Arial" w:cs="Arial"/>
          <w:color w:val="000000"/>
          <w:sz w:val="18"/>
          <w:szCs w:val="18"/>
          <w:lang w:eastAsia="cs-CZ"/>
        </w:rPr>
      </w:pPr>
      <w:r w:rsidRPr="003409AB">
        <w:rPr>
          <w:rFonts w:ascii="Arial" w:eastAsia="Times New Roman" w:hAnsi="Arial" w:cs="Arial"/>
          <w:color w:val="000000"/>
          <w:sz w:val="18"/>
          <w:szCs w:val="18"/>
          <w:lang w:eastAsia="cs-CZ"/>
        </w:rPr>
        <w:t>Povinné i nepovinné zkoušky jsou koncipovány v souladu s platnými </w:t>
      </w:r>
      <w:hyperlink r:id="rId11" w:history="1">
        <w:r w:rsidRPr="003409AB">
          <w:rPr>
            <w:rFonts w:ascii="inherit" w:eastAsia="Times New Roman" w:hAnsi="inherit" w:cs="Arial"/>
            <w:color w:val="000099"/>
            <w:sz w:val="18"/>
            <w:szCs w:val="18"/>
            <w:u w:val="single"/>
            <w:bdr w:val="none" w:sz="0" w:space="0" w:color="auto" w:frame="1"/>
            <w:lang w:eastAsia="cs-CZ"/>
          </w:rPr>
          <w:t>katalogy požadavků</w:t>
        </w:r>
      </w:hyperlink>
      <w:r w:rsidRPr="003409AB">
        <w:rPr>
          <w:rFonts w:ascii="Arial" w:eastAsia="Times New Roman" w:hAnsi="Arial" w:cs="Arial"/>
          <w:color w:val="000000"/>
          <w:sz w:val="18"/>
          <w:szCs w:val="18"/>
          <w:lang w:eastAsia="cs-CZ"/>
        </w:rPr>
        <w:t>.</w:t>
      </w:r>
    </w:p>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b/>
          <w:bCs/>
          <w:color w:val="000000"/>
          <w:sz w:val="18"/>
          <w:szCs w:val="18"/>
          <w:lang w:eastAsia="cs-CZ"/>
        </w:rPr>
        <w:t>Cizí jazyk</w:t>
      </w:r>
      <w:r w:rsidRPr="003409AB">
        <w:rPr>
          <w:rFonts w:ascii="Arial" w:eastAsia="Times New Roman" w:hAnsi="Arial" w:cs="Arial"/>
          <w:color w:val="000000"/>
          <w:sz w:val="18"/>
          <w:szCs w:val="18"/>
          <w:lang w:eastAsia="cs-CZ"/>
        </w:rPr>
        <w:t> u povinných i nepovinných zkoušek nabízí tyto jazyky: anglický, německý, španělský, francouzský a ruský. Při výběru cizího jazyka nehraje roli jeho hodinová dotace při studiu ani to, zda žák studoval daný jazyk jako první nebo druhý. Žák si může dokonce zvolit takový cizí jazyk, který se během studia na své škole neučil. Jedinou podmínkou je, že se tento jazyk na dané škole vyučuje.</w:t>
      </w:r>
    </w:p>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color w:val="FF0000"/>
          <w:sz w:val="18"/>
          <w:szCs w:val="18"/>
          <w:lang w:eastAsia="cs-CZ"/>
        </w:rPr>
        <w:t>V jarním zkušebním období maturitní zkoušky 2018 se bude povinná dílčí zkouška konaná formou písemné práce v rámci zkoušky z cizího jazyka konat v dubnovém termínu</w:t>
      </w:r>
      <w:r w:rsidRPr="003409AB">
        <w:rPr>
          <w:rFonts w:ascii="Arial" w:eastAsia="Times New Roman" w:hAnsi="Arial" w:cs="Arial"/>
          <w:color w:val="000000"/>
          <w:sz w:val="18"/>
          <w:szCs w:val="18"/>
          <w:lang w:eastAsia="cs-CZ"/>
        </w:rPr>
        <w:t>, na rozdíl od nepovinné zkoušky konané formou písemné práce, která proběhne na začátku května.</w:t>
      </w:r>
    </w:p>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color w:val="000000"/>
          <w:sz w:val="18"/>
          <w:szCs w:val="18"/>
          <w:lang w:eastAsia="cs-CZ"/>
        </w:rPr>
        <w:t>Pokud žák </w:t>
      </w:r>
      <w:r w:rsidRPr="003409AB">
        <w:rPr>
          <w:rFonts w:ascii="Arial" w:eastAsia="Times New Roman" w:hAnsi="Arial" w:cs="Arial"/>
          <w:b/>
          <w:bCs/>
          <w:color w:val="000000"/>
          <w:sz w:val="18"/>
          <w:szCs w:val="18"/>
          <w:lang w:eastAsia="cs-CZ"/>
        </w:rPr>
        <w:t>neuspěje u komplexní zkoušky</w:t>
      </w:r>
      <w:r w:rsidRPr="003409AB">
        <w:rPr>
          <w:rFonts w:ascii="Arial" w:eastAsia="Times New Roman" w:hAnsi="Arial" w:cs="Arial"/>
          <w:color w:val="000000"/>
          <w:sz w:val="18"/>
          <w:szCs w:val="18"/>
          <w:lang w:eastAsia="cs-CZ"/>
        </w:rPr>
        <w:t xml:space="preserve"> z českého jazyka a literatury nebo cizího jazyka, opakuje jen tu dílčí </w:t>
      </w:r>
      <w:bookmarkStart w:id="0" w:name="_GoBack"/>
      <w:bookmarkEnd w:id="0"/>
      <w:r w:rsidRPr="003409AB">
        <w:rPr>
          <w:rFonts w:ascii="Arial" w:eastAsia="Times New Roman" w:hAnsi="Arial" w:cs="Arial"/>
          <w:color w:val="000000"/>
          <w:sz w:val="18"/>
          <w:szCs w:val="18"/>
          <w:lang w:eastAsia="cs-CZ"/>
        </w:rPr>
        <w:t>zkoušku/y, u které neuspěl. Není tedy nutné opakovat celou komplexní zkoušku.</w:t>
      </w:r>
    </w:p>
    <w:p w:rsidR="003409AB" w:rsidRPr="003409AB" w:rsidRDefault="003409AB" w:rsidP="003409AB">
      <w:pPr>
        <w:shd w:val="clear" w:color="auto" w:fill="FFFFFF"/>
        <w:spacing w:after="240" w:line="270" w:lineRule="atLeast"/>
        <w:rPr>
          <w:rFonts w:ascii="Arial" w:eastAsia="Times New Roman" w:hAnsi="Arial" w:cs="Arial"/>
          <w:color w:val="000000"/>
          <w:sz w:val="18"/>
          <w:szCs w:val="18"/>
          <w:lang w:eastAsia="cs-CZ"/>
        </w:rPr>
      </w:pPr>
      <w:r w:rsidRPr="003409AB">
        <w:rPr>
          <w:rFonts w:ascii="Arial" w:eastAsia="Times New Roman" w:hAnsi="Arial" w:cs="Arial"/>
          <w:b/>
          <w:bCs/>
          <w:color w:val="000000"/>
          <w:sz w:val="18"/>
          <w:szCs w:val="18"/>
          <w:lang w:eastAsia="cs-CZ"/>
        </w:rPr>
        <w:t>Další důležité informace k maturitě v roce 2018 naleznete v těchto záložkách:</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Popis jednotlivých zkušebních předmětů najdete v záložce </w:t>
      </w:r>
      <w:hyperlink r:id="rId12" w:history="1">
        <w:r w:rsidRPr="003409AB">
          <w:rPr>
            <w:rFonts w:ascii="inherit" w:eastAsia="Times New Roman" w:hAnsi="inherit" w:cs="Arial"/>
            <w:color w:val="000099"/>
            <w:sz w:val="18"/>
            <w:szCs w:val="18"/>
            <w:u w:val="single"/>
            <w:bdr w:val="none" w:sz="0" w:space="0" w:color="auto" w:frame="1"/>
            <w:lang w:eastAsia="cs-CZ"/>
          </w:rPr>
          <w:t>Zkoušky a předměty</w:t>
        </w:r>
      </w:hyperlink>
      <w:r w:rsidRPr="003409AB">
        <w:rPr>
          <w:rFonts w:ascii="inherit" w:eastAsia="Times New Roman" w:hAnsi="inherit" w:cs="Arial"/>
          <w:color w:val="000000"/>
          <w:sz w:val="18"/>
          <w:szCs w:val="18"/>
          <w:lang w:eastAsia="cs-CZ"/>
        </w:rPr>
        <w:t>.</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Termíny související s konáním maturitní zkoušky v roce 2018 naleznete v záložce </w:t>
      </w:r>
      <w:hyperlink r:id="rId13" w:history="1">
        <w:r w:rsidRPr="003409AB">
          <w:rPr>
            <w:rFonts w:ascii="inherit" w:eastAsia="Times New Roman" w:hAnsi="inherit" w:cs="Arial"/>
            <w:color w:val="000099"/>
            <w:sz w:val="18"/>
            <w:szCs w:val="18"/>
            <w:u w:val="single"/>
            <w:bdr w:val="none" w:sz="0" w:space="0" w:color="auto" w:frame="1"/>
            <w:lang w:eastAsia="cs-CZ"/>
          </w:rPr>
          <w:t>Maturitní kalendář 2018. </w:t>
        </w:r>
        <w:r w:rsidRPr="003409AB">
          <w:rPr>
            <w:rFonts w:ascii="inherit" w:eastAsia="Times New Roman" w:hAnsi="inherit" w:cs="Arial"/>
            <w:color w:val="000099"/>
            <w:sz w:val="18"/>
            <w:szCs w:val="18"/>
            <w:u w:val="single"/>
            <w:bdr w:val="none" w:sz="0" w:space="0" w:color="auto" w:frame="1"/>
            <w:lang w:eastAsia="cs-CZ"/>
          </w:rPr>
          <w:br/>
        </w:r>
      </w:hyperlink>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Kritéria hodnocení zkoušek a dílčích zkoušek společné části maturitní zkoušky a kritéria celkového hodnocení maturitní zkoušky, které byly platné pro maturitní zkoušku ve školním roce 2016/2017 naleznete v záložce </w:t>
      </w:r>
      <w:hyperlink r:id="rId14" w:history="1">
        <w:r w:rsidRPr="003409AB">
          <w:rPr>
            <w:rFonts w:ascii="inherit" w:eastAsia="Times New Roman" w:hAnsi="inherit" w:cs="Arial"/>
            <w:color w:val="000099"/>
            <w:sz w:val="18"/>
            <w:szCs w:val="18"/>
            <w:u w:val="single"/>
            <w:bdr w:val="none" w:sz="0" w:space="0" w:color="auto" w:frame="1"/>
            <w:lang w:eastAsia="cs-CZ"/>
          </w:rPr>
          <w:t>Kritéria hodnocení</w:t>
        </w:r>
      </w:hyperlink>
      <w:r w:rsidRPr="003409AB">
        <w:rPr>
          <w:rFonts w:ascii="inherit" w:eastAsia="Times New Roman" w:hAnsi="inherit" w:cs="Arial"/>
          <w:color w:val="000000"/>
          <w:sz w:val="18"/>
          <w:szCs w:val="18"/>
          <w:lang w:eastAsia="cs-CZ"/>
        </w:rPr>
        <w:t>. </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hyperlink r:id="rId15" w:history="1">
        <w:r w:rsidRPr="003409AB">
          <w:rPr>
            <w:rFonts w:ascii="inherit" w:eastAsia="Times New Roman" w:hAnsi="inherit" w:cs="Arial"/>
            <w:color w:val="000099"/>
            <w:sz w:val="18"/>
            <w:szCs w:val="18"/>
            <w:u w:val="single"/>
            <w:bdr w:val="none" w:sz="0" w:space="0" w:color="auto" w:frame="1"/>
            <w:lang w:eastAsia="cs-CZ"/>
          </w:rPr>
          <w:t>Katalogy požadavků </w:t>
        </w:r>
      </w:hyperlink>
      <w:r w:rsidRPr="003409AB">
        <w:rPr>
          <w:rFonts w:ascii="inherit" w:eastAsia="Times New Roman" w:hAnsi="inherit" w:cs="Arial"/>
          <w:color w:val="000000"/>
          <w:sz w:val="18"/>
          <w:szCs w:val="18"/>
          <w:lang w:eastAsia="cs-CZ"/>
        </w:rPr>
        <w:t>vymezují očekávané vědomosti a dovednosti, které jsou ověřovány v rámci společné části maturitní zkoušky v roce 2018.</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V záložce </w:t>
      </w:r>
      <w:hyperlink r:id="rId16" w:history="1">
        <w:r w:rsidRPr="003409AB">
          <w:rPr>
            <w:rFonts w:ascii="inherit" w:eastAsia="Times New Roman" w:hAnsi="inherit" w:cs="Arial"/>
            <w:color w:val="000099"/>
            <w:sz w:val="18"/>
            <w:szCs w:val="18"/>
            <w:u w:val="single"/>
            <w:bdr w:val="none" w:sz="0" w:space="0" w:color="auto" w:frame="1"/>
            <w:lang w:eastAsia="cs-CZ"/>
          </w:rPr>
          <w:t>Testy a zadání</w:t>
        </w:r>
      </w:hyperlink>
      <w:r w:rsidRPr="003409AB">
        <w:rPr>
          <w:rFonts w:ascii="inherit" w:eastAsia="Times New Roman" w:hAnsi="inherit" w:cs="Arial"/>
          <w:color w:val="000000"/>
          <w:sz w:val="18"/>
          <w:szCs w:val="18"/>
          <w:lang w:eastAsia="cs-CZ"/>
        </w:rPr>
        <w:t> naleznete ilustrační testy a zadání, testy a zadání společné části maturitní zkoušky, které byly předmětem zkoušky v uplynulých dvou zkušebních období.</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V záložce </w:t>
      </w:r>
      <w:hyperlink r:id="rId17" w:history="1">
        <w:r w:rsidRPr="003409AB">
          <w:rPr>
            <w:rFonts w:ascii="inherit" w:eastAsia="Times New Roman" w:hAnsi="inherit" w:cs="Arial"/>
            <w:color w:val="000099"/>
            <w:sz w:val="18"/>
            <w:szCs w:val="18"/>
            <w:u w:val="single"/>
            <w:bdr w:val="none" w:sz="0" w:space="0" w:color="auto" w:frame="1"/>
            <w:lang w:eastAsia="cs-CZ"/>
          </w:rPr>
          <w:t>Publikace k maturitě </w:t>
        </w:r>
      </w:hyperlink>
      <w:r w:rsidRPr="003409AB">
        <w:rPr>
          <w:rFonts w:ascii="inherit" w:eastAsia="Times New Roman" w:hAnsi="inherit" w:cs="Arial"/>
          <w:color w:val="000000"/>
          <w:sz w:val="18"/>
          <w:szCs w:val="18"/>
          <w:lang w:eastAsia="cs-CZ"/>
        </w:rPr>
        <w:t>budou postupně zveřejňovány vydávané materiály s informacemi, radami a tipy k maturitní zkoušce ve školním roce 2017/2018. </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hyperlink r:id="rId18" w:history="1">
        <w:r w:rsidRPr="003409AB">
          <w:rPr>
            <w:rFonts w:ascii="inherit" w:eastAsia="Times New Roman" w:hAnsi="inherit" w:cs="Arial"/>
            <w:color w:val="000099"/>
            <w:sz w:val="18"/>
            <w:szCs w:val="18"/>
            <w:u w:val="single"/>
            <w:bdr w:val="none" w:sz="0" w:space="0" w:color="auto" w:frame="1"/>
            <w:lang w:eastAsia="cs-CZ"/>
          </w:rPr>
          <w:t>Maturita v otázkách</w:t>
        </w:r>
      </w:hyperlink>
      <w:r w:rsidRPr="003409AB">
        <w:rPr>
          <w:rFonts w:ascii="inherit" w:eastAsia="Times New Roman" w:hAnsi="inherit" w:cs="Arial"/>
          <w:color w:val="000000"/>
          <w:sz w:val="18"/>
          <w:szCs w:val="18"/>
          <w:lang w:eastAsia="cs-CZ"/>
        </w:rPr>
        <w:t> obsahuje nejčastější dotazy k nové maturitní zkoušce s příslušnými odpověďmi.</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Jaké podmínky a uzpůsobení zkoušek jsou stanoveny pro žáky se speciálními vzdělávacími potřebami? Čtěte v sekci </w:t>
      </w:r>
      <w:hyperlink r:id="rId19" w:history="1">
        <w:r w:rsidRPr="003409AB">
          <w:rPr>
            <w:rFonts w:ascii="inherit" w:eastAsia="Times New Roman" w:hAnsi="inherit" w:cs="Arial"/>
            <w:color w:val="000099"/>
            <w:sz w:val="18"/>
            <w:szCs w:val="18"/>
            <w:u w:val="single"/>
            <w:bdr w:val="none" w:sz="0" w:space="0" w:color="auto" w:frame="1"/>
            <w:lang w:eastAsia="cs-CZ"/>
          </w:rPr>
          <w:t>Maturita bez handicapu</w:t>
        </w:r>
      </w:hyperlink>
      <w:r w:rsidRPr="003409AB">
        <w:rPr>
          <w:rFonts w:ascii="inherit" w:eastAsia="Times New Roman" w:hAnsi="inherit" w:cs="Arial"/>
          <w:color w:val="000000"/>
          <w:sz w:val="18"/>
          <w:szCs w:val="18"/>
          <w:lang w:eastAsia="cs-CZ"/>
        </w:rPr>
        <w:t>.</w:t>
      </w:r>
    </w:p>
    <w:p w:rsidR="003409AB" w:rsidRPr="003409AB" w:rsidRDefault="003409AB" w:rsidP="003409AB">
      <w:pPr>
        <w:numPr>
          <w:ilvl w:val="0"/>
          <w:numId w:val="1"/>
        </w:numPr>
        <w:spacing w:after="0" w:line="240" w:lineRule="auto"/>
        <w:ind w:left="0"/>
        <w:rPr>
          <w:rFonts w:ascii="inherit" w:eastAsia="Times New Roman" w:hAnsi="inherit" w:cs="Arial"/>
          <w:color w:val="000000"/>
          <w:sz w:val="18"/>
          <w:szCs w:val="18"/>
          <w:lang w:eastAsia="cs-CZ"/>
        </w:rPr>
      </w:pPr>
      <w:r w:rsidRPr="003409AB">
        <w:rPr>
          <w:rFonts w:ascii="inherit" w:eastAsia="Times New Roman" w:hAnsi="inherit" w:cs="Arial"/>
          <w:color w:val="000000"/>
          <w:sz w:val="18"/>
          <w:szCs w:val="18"/>
          <w:lang w:eastAsia="cs-CZ"/>
        </w:rPr>
        <w:t>Informace o profilové části čtěte v článku </w:t>
      </w:r>
      <w:hyperlink r:id="rId20" w:history="1">
        <w:r w:rsidRPr="003409AB">
          <w:rPr>
            <w:rFonts w:ascii="inherit" w:eastAsia="Times New Roman" w:hAnsi="inherit" w:cs="Arial"/>
            <w:color w:val="000099"/>
            <w:sz w:val="18"/>
            <w:szCs w:val="18"/>
            <w:u w:val="single"/>
            <w:bdr w:val="none" w:sz="0" w:space="0" w:color="auto" w:frame="1"/>
            <w:lang w:eastAsia="cs-CZ"/>
          </w:rPr>
          <w:t>Profilová část</w:t>
        </w:r>
      </w:hyperlink>
      <w:r w:rsidRPr="003409AB">
        <w:rPr>
          <w:rFonts w:ascii="inherit" w:eastAsia="Times New Roman" w:hAnsi="inherit" w:cs="Arial"/>
          <w:color w:val="000000"/>
          <w:sz w:val="18"/>
          <w:szCs w:val="18"/>
          <w:lang w:eastAsia="cs-CZ"/>
        </w:rPr>
        <w:t>.</w:t>
      </w:r>
    </w:p>
    <w:p w:rsidR="00DF2A6B" w:rsidRDefault="00DF2A6B"/>
    <w:sectPr w:rsidR="00DF2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7D82"/>
    <w:multiLevelType w:val="multilevel"/>
    <w:tmpl w:val="929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AB"/>
    <w:rsid w:val="003409AB"/>
    <w:rsid w:val="00DF2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5469"/>
  <w15:chartTrackingRefBased/>
  <w15:docId w15:val="{98B28497-C2DC-45F4-ABF6-09264C31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40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3409A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09AB"/>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3409A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409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409AB"/>
    <w:rPr>
      <w:b/>
      <w:bCs/>
    </w:rPr>
  </w:style>
  <w:style w:type="character" w:styleId="Hypertextovodkaz">
    <w:name w:val="Hyperlink"/>
    <w:basedOn w:val="Standardnpsmoodstavce"/>
    <w:uiPriority w:val="99"/>
    <w:semiHidden/>
    <w:unhideWhenUsed/>
    <w:rsid w:val="00340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22328">
      <w:bodyDiv w:val="1"/>
      <w:marLeft w:val="0"/>
      <w:marRight w:val="0"/>
      <w:marTop w:val="0"/>
      <w:marBottom w:val="0"/>
      <w:divBdr>
        <w:top w:val="none" w:sz="0" w:space="0" w:color="auto"/>
        <w:left w:val="none" w:sz="0" w:space="0" w:color="auto"/>
        <w:bottom w:val="none" w:sz="0" w:space="0" w:color="auto"/>
        <w:right w:val="none" w:sz="0" w:space="0" w:color="auto"/>
      </w:divBdr>
      <w:divsChild>
        <w:div w:id="1745910746">
          <w:marLeft w:val="0"/>
          <w:marRight w:val="0"/>
          <w:marTop w:val="0"/>
          <w:marBottom w:val="0"/>
          <w:divBdr>
            <w:top w:val="none" w:sz="0" w:space="0" w:color="auto"/>
            <w:left w:val="none" w:sz="0" w:space="0" w:color="auto"/>
            <w:bottom w:val="none" w:sz="0" w:space="0" w:color="auto"/>
            <w:right w:val="none" w:sz="0" w:space="0" w:color="auto"/>
          </w:divBdr>
        </w:div>
        <w:div w:id="342171705">
          <w:marLeft w:val="0"/>
          <w:marRight w:val="0"/>
          <w:marTop w:val="0"/>
          <w:marBottom w:val="0"/>
          <w:divBdr>
            <w:top w:val="none" w:sz="0" w:space="0" w:color="auto"/>
            <w:left w:val="none" w:sz="0" w:space="0" w:color="auto"/>
            <w:bottom w:val="none" w:sz="0" w:space="0" w:color="auto"/>
            <w:right w:val="none" w:sz="0" w:space="0" w:color="auto"/>
          </w:divBdr>
        </w:div>
        <w:div w:id="1029061735">
          <w:marLeft w:val="0"/>
          <w:marRight w:val="0"/>
          <w:marTop w:val="0"/>
          <w:marBottom w:val="0"/>
          <w:divBdr>
            <w:top w:val="none" w:sz="0" w:space="0" w:color="auto"/>
            <w:left w:val="none" w:sz="0" w:space="0" w:color="auto"/>
            <w:bottom w:val="none" w:sz="0" w:space="0" w:color="auto"/>
            <w:right w:val="none" w:sz="0" w:space="0" w:color="auto"/>
          </w:divBdr>
        </w:div>
        <w:div w:id="1472558627">
          <w:marLeft w:val="0"/>
          <w:marRight w:val="0"/>
          <w:marTop w:val="0"/>
          <w:marBottom w:val="0"/>
          <w:divBdr>
            <w:top w:val="none" w:sz="0" w:space="0" w:color="auto"/>
            <w:left w:val="none" w:sz="0" w:space="0" w:color="auto"/>
            <w:bottom w:val="none" w:sz="0" w:space="0" w:color="auto"/>
            <w:right w:val="none" w:sz="0" w:space="0" w:color="auto"/>
          </w:divBdr>
        </w:div>
        <w:div w:id="998969519">
          <w:marLeft w:val="0"/>
          <w:marRight w:val="0"/>
          <w:marTop w:val="0"/>
          <w:marBottom w:val="0"/>
          <w:divBdr>
            <w:top w:val="none" w:sz="0" w:space="0" w:color="auto"/>
            <w:left w:val="none" w:sz="0" w:space="0" w:color="auto"/>
            <w:bottom w:val="none" w:sz="0" w:space="0" w:color="auto"/>
            <w:right w:val="none" w:sz="0" w:space="0" w:color="auto"/>
          </w:divBdr>
        </w:div>
        <w:div w:id="579220044">
          <w:marLeft w:val="0"/>
          <w:marRight w:val="0"/>
          <w:marTop w:val="0"/>
          <w:marBottom w:val="0"/>
          <w:divBdr>
            <w:top w:val="none" w:sz="0" w:space="0" w:color="auto"/>
            <w:left w:val="none" w:sz="0" w:space="0" w:color="auto"/>
            <w:bottom w:val="none" w:sz="0" w:space="0" w:color="auto"/>
            <w:right w:val="none" w:sz="0" w:space="0" w:color="auto"/>
          </w:divBdr>
        </w:div>
        <w:div w:id="359278801">
          <w:marLeft w:val="0"/>
          <w:marRight w:val="0"/>
          <w:marTop w:val="0"/>
          <w:marBottom w:val="0"/>
          <w:divBdr>
            <w:top w:val="none" w:sz="0" w:space="0" w:color="auto"/>
            <w:left w:val="none" w:sz="0" w:space="0" w:color="auto"/>
            <w:bottom w:val="none" w:sz="0" w:space="0" w:color="auto"/>
            <w:right w:val="none" w:sz="0" w:space="0" w:color="auto"/>
          </w:divBdr>
        </w:div>
        <w:div w:id="1965884963">
          <w:marLeft w:val="0"/>
          <w:marRight w:val="0"/>
          <w:marTop w:val="0"/>
          <w:marBottom w:val="0"/>
          <w:divBdr>
            <w:top w:val="none" w:sz="0" w:space="0" w:color="auto"/>
            <w:left w:val="none" w:sz="0" w:space="0" w:color="auto"/>
            <w:bottom w:val="none" w:sz="0" w:space="0" w:color="auto"/>
            <w:right w:val="none" w:sz="0" w:space="0" w:color="auto"/>
          </w:divBdr>
        </w:div>
        <w:div w:id="179136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aturita.cz/matematika-1404036122.html" TargetMode="External"/><Relationship Id="rId13" Type="http://schemas.openxmlformats.org/officeDocument/2006/relationships/hyperlink" Target="http://www.novamaturita.cz/maturitni-kalendar-2015-1404037604.html?sub=studenti" TargetMode="External"/><Relationship Id="rId18" Type="http://schemas.openxmlformats.org/officeDocument/2006/relationships/hyperlink" Target="http://www.novamaturita.cz/maturita-v-otazkach-140403320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vamaturita.cz/cizi-jazyk-1404033644.html" TargetMode="External"/><Relationship Id="rId12" Type="http://schemas.openxmlformats.org/officeDocument/2006/relationships/hyperlink" Target="http://www.novamaturita.cz/zkousky-a-predmety-1404036121.html" TargetMode="External"/><Relationship Id="rId17" Type="http://schemas.openxmlformats.org/officeDocument/2006/relationships/hyperlink" Target="http://www.novamaturita.cz/publikace-k-maturite-1404036219.html" TargetMode="External"/><Relationship Id="rId2" Type="http://schemas.openxmlformats.org/officeDocument/2006/relationships/styles" Target="styles.xml"/><Relationship Id="rId16" Type="http://schemas.openxmlformats.org/officeDocument/2006/relationships/hyperlink" Target="http://www.novamaturita.cz/testy-a-zadani-1404035305.html" TargetMode="External"/><Relationship Id="rId20" Type="http://schemas.openxmlformats.org/officeDocument/2006/relationships/hyperlink" Target="http://www.novamaturita.cz/profilova-cast-1404033112.html" TargetMode="External"/><Relationship Id="rId1" Type="http://schemas.openxmlformats.org/officeDocument/2006/relationships/numbering" Target="numbering.xml"/><Relationship Id="rId6" Type="http://schemas.openxmlformats.org/officeDocument/2006/relationships/hyperlink" Target="http://www.novamaturita.cz/cesky-jazyk-a-literatura-1404033218.html" TargetMode="External"/><Relationship Id="rId11" Type="http://schemas.openxmlformats.org/officeDocument/2006/relationships/hyperlink" Target="http://www.novamaturita.cz/katalogy-pozadavku-2015-1404037597.html?sub=studenti" TargetMode="External"/><Relationship Id="rId5" Type="http://schemas.openxmlformats.org/officeDocument/2006/relationships/hyperlink" Target="http://www.novamaturita.cz/skolsky-zakon-a-vyhlaska-1404033137.html" TargetMode="External"/><Relationship Id="rId15" Type="http://schemas.openxmlformats.org/officeDocument/2006/relationships/hyperlink" Target="http://www.novamaturita.cz/katalogy-pozadavku-1404033138.html" TargetMode="External"/><Relationship Id="rId10" Type="http://schemas.openxmlformats.org/officeDocument/2006/relationships/hyperlink" Target="http://www.novamaturita.cz/matematika-1404036122.html" TargetMode="External"/><Relationship Id="rId19" Type="http://schemas.openxmlformats.org/officeDocument/2006/relationships/hyperlink" Target="http://www.novamaturita.cz/maturita-bez-handicapu-1404033473.html" TargetMode="External"/><Relationship Id="rId4" Type="http://schemas.openxmlformats.org/officeDocument/2006/relationships/webSettings" Target="webSettings.xml"/><Relationship Id="rId9" Type="http://schemas.openxmlformats.org/officeDocument/2006/relationships/hyperlink" Target="http://www.novamaturita.cz/cizi-jazyk-1404033644.html" TargetMode="External"/><Relationship Id="rId14" Type="http://schemas.openxmlformats.org/officeDocument/2006/relationships/hyperlink" Target="http://www.novamaturita.cz/kriteria-hodnoceni-1404035057.html"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3684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Lebedová Hana</dc:creator>
  <cp:keywords/>
  <dc:description/>
  <cp:lastModifiedBy>Lebedová Hana</cp:lastModifiedBy>
  <cp:revision>1</cp:revision>
  <dcterms:created xsi:type="dcterms:W3CDTF">2017-10-09T10:47:00Z</dcterms:created>
  <dcterms:modified xsi:type="dcterms:W3CDTF">2017-10-09T10:50:00Z</dcterms:modified>
</cp:coreProperties>
</file>